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9" w:before="29"/>
        <w:contextualSpacing w:val="false"/>
        <w:jc w:val="center"/>
      </w:pPr>
      <w:r>
        <w:rPr>
          <w:rFonts w:ascii="Takhoma" w:hAnsi="Takhoma"/>
          <w:b/>
          <w:bCs/>
          <w:sz w:val="24"/>
          <w:szCs w:val="24"/>
        </w:rPr>
        <w:t>Grant Writing Workshop 2</w:t>
      </w:r>
    </w:p>
    <w:p>
      <w:pPr>
        <w:pStyle w:val="style0"/>
        <w:spacing w:after="29" w:before="29"/>
        <w:contextualSpacing w:val="false"/>
        <w:jc w:val="center"/>
      </w:pPr>
      <w:r>
        <w:rPr>
          <w:rFonts w:ascii="Takhoma" w:hAnsi="Takhoma"/>
          <w:b/>
          <w:bCs/>
          <w:sz w:val="24"/>
          <w:szCs w:val="24"/>
        </w:rPr>
        <w:t>Agenda for Monday</w:t>
      </w:r>
      <w:r>
        <w:rPr>
          <w:rFonts w:ascii="Takhoma" w:hAnsi="Takhoma"/>
          <w:b/>
          <w:bCs/>
          <w:color w:val="000000"/>
          <w:sz w:val="24"/>
          <w:szCs w:val="24"/>
        </w:rPr>
        <w:t>, November 4, 2013</w:t>
      </w:r>
    </w:p>
    <w:p>
      <w:pPr>
        <w:pStyle w:val="style0"/>
        <w:spacing w:after="29" w:before="29"/>
        <w:contextualSpacing w:val="false"/>
        <w:jc w:val="center"/>
      </w:pPr>
      <w:r>
        <w:rPr>
          <w:rFonts w:ascii="Takhoma" w:hAnsi="Takhoma"/>
          <w:b/>
          <w:bCs/>
          <w:color w:val="000000"/>
          <w:sz w:val="24"/>
          <w:szCs w:val="24"/>
        </w:rPr>
        <w:t>3:35 in Boyd GSRC 306</w:t>
      </w:r>
    </w:p>
    <w:p>
      <w:pPr>
        <w:pStyle w:val="style0"/>
        <w:spacing w:after="29" w:before="29"/>
        <w:contextualSpacing w:val="false"/>
        <w:jc w:val="center"/>
      </w:pPr>
      <w:r>
        <w:rPr/>
      </w:r>
    </w:p>
    <w:p>
      <w:pPr>
        <w:pStyle w:val="style0"/>
        <w:spacing w:after="29" w:before="29"/>
        <w:contextualSpacing w:val="false"/>
        <w:jc w:val="center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 xml:space="preserve">A. </w:t>
      </w:r>
      <w:r>
        <w:rPr>
          <w:rFonts w:ascii="Takhoma" w:hAnsi="Takhoma"/>
          <w:b/>
          <w:bCs/>
          <w:sz w:val="24"/>
          <w:szCs w:val="24"/>
        </w:rPr>
        <w:t>Research Opportunities in Big Data - Lakshmish Ramaswamy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Experience from Big Data Panel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>B. Brain Imaging – Big Data Analytics - Tianming Liu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NIH BD2K U54 Proposal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Scaling up Model-based and Data-driven Methods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>C. Interdisciplinary Research Opportunities at UGA – Thiab Taha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Big Data Committee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EAGER: Big Data Consulting Services and Training Center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Possible Future Collaborators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>D. Research Infrastructure – John Miller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EITS Hadoop Cluster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</w:rPr>
        <w:t>GPU Lab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/>
          <w:bCs/>
        </w:rPr>
        <w:t>E</w:t>
      </w:r>
      <w:r>
        <w:rPr>
          <w:rFonts w:ascii="Takhoma" w:hAnsi="Takhoma"/>
          <w:b/>
          <w:bCs/>
        </w:rPr>
        <w:t>. Example NSF Small Project Program Solicitation – John Miller</w:t>
      </w:r>
    </w:p>
    <w:p>
      <w:pPr>
        <w:pStyle w:val="style0"/>
        <w:spacing w:after="29" w:before="29"/>
        <w:contextualSpacing w:val="false"/>
      </w:pPr>
      <w:r>
        <w:rPr/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  <w:i/>
          <w:iCs/>
          <w:color w:val="000000"/>
          <w:sz w:val="20"/>
        </w:rPr>
        <w:t>NSF SMALL Projects: January 02, 2014 - January 17, 2014</w:t>
      </w:r>
    </w:p>
    <w:p>
      <w:pPr>
        <w:pStyle w:val="style0"/>
        <w:spacing w:after="29" w:before="29"/>
        <w:contextualSpacing w:val="false"/>
      </w:pPr>
      <w:r>
        <w:rPr>
          <w:rFonts w:ascii="Takhoma" w:hAnsi="Takhoma"/>
          <w:b w:val="false"/>
          <w:bCs w:val="false"/>
          <w:i/>
          <w:iCs/>
          <w:color w:val="000000"/>
          <w:sz w:val="20"/>
        </w:rPr>
        <w:t>http://www.nsf.gov/pubs/2013/nsf13580/nsf13580.htm</w:t>
        <w:br/>
        <w:t>http://www.nsf.gov/cise/iis/iii_pgm12.jsp</w:t>
      </w:r>
      <w:r>
        <w:rPr>
          <w:rFonts w:ascii="Takhoma" w:hAnsi="Takhoma"/>
          <w:b/>
          <w:bCs/>
          <w:i/>
          <w:iCs/>
          <w:color w:val="000000"/>
          <w:sz w:val="20"/>
        </w:rPr>
        <w:b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Palatino Linotype" w:cs="Calibri" w:eastAsia="DejaVu Sans" w:hAnsi="Palatino Linotype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2013-09-02T12:57:00.00Z</dcterms:created>
  <dc:creator>Cynthia L Baker</dc:creator>
  <cp:lastModifiedBy>Thiab Taha</cp:lastModifiedBy>
  <dcterms:modified xsi:type="dcterms:W3CDTF">2013-09-02T12:57:00.00Z</dcterms:modified>
  <cp:revision>2</cp:revision>
</cp:coreProperties>
</file>